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63" w:rsidRP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Pr="00924D63" w:rsidRDefault="00924D63" w:rsidP="0092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 54  от  07</w:t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4D63" w:rsidRPr="00924D63" w:rsidRDefault="00924D63" w:rsidP="0092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отделу образования администрации Каширского муниципального района</w:t>
      </w:r>
    </w:p>
    <w:p w:rsidR="00924D63" w:rsidRPr="00924D63" w:rsidRDefault="00924D63" w:rsidP="0092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расходов </w:t>
      </w:r>
    </w:p>
    <w:p w:rsid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образовательных программ</w:t>
      </w:r>
    </w:p>
    <w:p w:rsidR="00924D63" w:rsidRP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 организациями.</w:t>
      </w:r>
    </w:p>
    <w:p w:rsidR="00924D63" w:rsidRP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0B" w:rsidRDefault="00924D63" w:rsidP="009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29 декабря 2012 г. № 273-ФЗ «Об образовании  в Российской Федерации», Законом 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 17 ноября 2005 г. № 68-ОЗ «О межбюджетных отношениях органов государственной власти и органов местного самоуправления в Воронежской области «Законом Воронежской области от 3 июня 2013 г. № 84- ОЗ «О регулировании отдельных отношений в сфере образования на территории Воронежской области», совместным</w:t>
      </w:r>
      <w:proofErr w:type="gramEnd"/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РФ от 8 сентября 2003 г. № 20-51-2839/20-01 и Министерства</w:t>
      </w:r>
      <w:r w:rsidR="00C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РФ от 7 октября 2003 г. № 1 а-02-08 «Методические рекомендации по предоставлению субвенции местным бюджетам на финансирование общеобразовательных учреждений в части </w:t>
      </w:r>
      <w:r w:rsidR="00C35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государственного стандарта общего образования, письмом Федерального </w:t>
      </w:r>
      <w:r w:rsidR="00C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РФ от 5 октября 2006 г. № 10-58-6940/10-05 «О материальных затратах, непосредственно связанных с</w:t>
      </w:r>
      <w:proofErr w:type="gramEnd"/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процессом, </w:t>
      </w:r>
      <w:r w:rsidR="00C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образования, науки и молодежной </w:t>
      </w:r>
      <w:r w:rsidR="00C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2A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от 13.03.2014 г. № 237 приказываю:</w:t>
      </w:r>
    </w:p>
    <w:p w:rsidR="00924D63" w:rsidRPr="00BD634A" w:rsidRDefault="00C35AAF" w:rsidP="00BD634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основной перечень</w:t>
      </w:r>
      <w:r w:rsidR="00BD634A" w:rsidRPr="00BD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образовательных программ для всех общеобразовательных организаций, согласно приложению 1.</w:t>
      </w:r>
    </w:p>
    <w:p w:rsidR="00BD634A" w:rsidRDefault="00BD634A" w:rsidP="00BD634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основному перечню расходов на реализацию образовательных программ дополнительный перечень расходов на реализацию образовательных программ для региональных инновационных общеобразовательных организаций по направлениям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федерального государственного образовательного стандарта основного общего образования» согласно приложению 2.</w:t>
      </w:r>
    </w:p>
    <w:p w:rsidR="00BD634A" w:rsidRDefault="00BD634A" w:rsidP="00BD634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следующие приказы департамента образования, науки и молодёжной политики:</w:t>
      </w:r>
    </w:p>
    <w:p w:rsidR="00BD634A" w:rsidRDefault="00BD634A" w:rsidP="00BD63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16 декабря 2009 года № 436 «Об утверждении перечня расходов на реализацию муниципальными образовательными учреждениями основных образовательных программ»;</w:t>
      </w:r>
    </w:p>
    <w:p w:rsidR="00BD634A" w:rsidRDefault="00BD634A" w:rsidP="00251E03">
      <w:pPr>
        <w:pStyle w:val="a3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27 декабря 2010 года № 1016 «О внесении изменений в приказ департамента образования, науки и молодежной </w:t>
      </w:r>
      <w:r w:rsidR="0025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Воронежской области от 16 декабря 2009 года № 436;</w:t>
      </w:r>
    </w:p>
    <w:p w:rsidR="00251E03" w:rsidRPr="00BD634A" w:rsidRDefault="00251E03" w:rsidP="00251E03">
      <w:pPr>
        <w:pStyle w:val="a3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 мая 2013 года № 536 «О внесении изменений в приказ департамента образования, науки и молодежной политики Воронежской области от 16 декабря 2009 года № 436.</w:t>
      </w:r>
    </w:p>
    <w:p w:rsidR="00924D63" w:rsidRPr="00924D63" w:rsidRDefault="00251E03" w:rsidP="00251E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D63"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924D63"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24D63"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924D63" w:rsidRPr="00924D63" w:rsidRDefault="00924D63" w:rsidP="009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Pr="00924D63" w:rsidRDefault="00924D63" w:rsidP="009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Pr="00924D63" w:rsidRDefault="00924D63" w:rsidP="009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Pr="00924D63" w:rsidRDefault="00924D63" w:rsidP="0092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образования</w:t>
      </w:r>
    </w:p>
    <w:p w:rsidR="00924D63" w:rsidRP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24D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Л.П.Снегирева</w:t>
      </w:r>
      <w:proofErr w:type="spellEnd"/>
    </w:p>
    <w:p w:rsidR="00AE351A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приказу</w:t>
      </w:r>
    </w:p>
    <w:p w:rsid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</w:t>
      </w: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2"/>
      <w:bookmarkStart w:id="1" w:name="OLE_LINK1"/>
      <w:r w:rsidRPr="00AE3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перечень расходов на реализацию образовательных программ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всех общеобразовательных организаций (осуществляющих в качестве основной цели образовательную деятельность по образовательным программам начального общего, основного общего и (или) среднего общего образования)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Заработная плата (оплата труда работника) работников муниципальных общеобразовательных организаций, реализующих основные образовательные программы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Расходы по уплате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обязательное социальное страхование от несчастных случаев на производстве и профессиональных заболеваний в соответствии с законодательством РФ.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Расходы общеобразовательных организаций  на обеспечение материальных затрат, непосредственно связанных с образовательным процессом (учебные расходы).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Материально-техническое оснащение образовательного процесса должно обеспечивать возможность: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обучающихся в проектную и учебно-исследовательскую деятельность, проведения наблюдений и экспериментов, в том числе с использованием: компьютерного оборудования (компьютеры, планшеты, проекционное оборудование, принтеры, МФУ и другое); учебно-лабораторного (документ камеры, интерактивные комплексы, интерактивная кафедра, интерактивные столы,  система голосования, цифровые метеостанции, цифровые лаборатории для проведения экспериментов по предметам естественнонаучного цикла, цифровые микроскопы и другое);</w:t>
      </w:r>
      <w:proofErr w:type="gramEnd"/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художественного творчества с использованием ручных, электрических и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ИКТ-инструментов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проектирования и конструирования, в том числе моделей с цифровым управлением и обратной связью, с использованием конструкторов (робототехника,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-конструкторы и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); управления объектами; программирования;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развития, систематических занятий физической культурой и спортом, в том числе с использование спортивного оборудования и спортивного инвентаря;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исполнения, сочинения и аранжировки музыкальных произведений с применением традиционных народных и современных инструментов и цифровых технологий (наушники,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midi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клавиатуры, портативные звукозаписывающие студии и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одного и более иностранного языка (лингафонные кабинеты);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выпуска школьных  печатных изданий, работы школьного телевидения (плоттеры, цифровые фотоаппараты, цифровые видеокамеры, графические планшеты, осветительное оборудование (прожекторы, софиты, экран «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хромокей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другое);</w:t>
      </w:r>
      <w:proofErr w:type="gramEnd"/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массовых мероприятий, собраний, представлений; досуга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озвучением, освещением и мультимедиа сопровождением.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Приобретение наглядных пособий, письменных, чертежных принадлежностей, материалов для учебных программ, классных журналов, бланков документов об образовании, дипломов, свидетельств, выдачу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похвальных листов, мебель для учебных целей, учебные пособия, в том числе услуги по их изготовлению.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 Комплектование фондов библиотек общеобразовательных организаций: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являющихся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дополнительной литературой, отечественной и зарубежной, классической и современной художественной литературой;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научно-популярной и научно-технической литературой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издания по изобразительному искусству, музыке, физической культуре и спорту, экологии, правилам безлопастного поведения на дорогах;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справочно-библиографической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периодическими изданиями;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собраниями словарей;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литературой по социальному и профессиональному самоопределению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Приобретение программного обеспечения: для работы творческих, исследовательских и иных площадок; для создания безопасной информационной среды; создания условий дистанционного обучения и другое.  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Приобретение расходных материалов для обеспечения образовательного процесса на занятиях урочной и внеурочной деятельности, в том числе занятиях трудового обучения, во время проведения лабораторных и практических занятий, материалы для технических средств обучения (картриджи,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тоноры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 диски, и другое), запасные части к техническим средствам обучения, химические реактивы, маркеры и другое. 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Ремонт и обслуживание техники, монтаж и демонтаж оборудования.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хозяйственных материалов: моющие и чистящие средства, дезинфицирующие средства, ткань техническая для мытья полов, хозяйственный инвентарь (ведра, веники, щетки, лопаты, спецодежда, полотенца, шторы и другое), электротовары (выключатели, лампы, розетки, светильники и другие). </w:t>
      </w:r>
      <w:proofErr w:type="gramEnd"/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Повышение квалификации педагогических и руководящих работников, включающие расходы на обучение, проживание, проезд.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пропускной способности и оплата интернет-трафика; оснащение и  организация работы школьного сервера, внутренней локальной сети,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осуществления; поддержание и размещение в глобальной сети Интернет школьного сайта. </w:t>
      </w:r>
      <w:proofErr w:type="gramEnd"/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Организация  и участие в конференциях, олимпиадах, выставках, форумах, семинарах, тренингах обучающихся и работников общеобразовательных организаций; участие в физкультурно-спортивных и оздоровительных мероприятиях, творческих конкурсах включающий  участия, проживания, проезд.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bookmarkStart w:id="2" w:name="_GoBack"/>
      <w:bookmarkEnd w:id="2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</w:t>
      </w: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AE351A" w:rsidRPr="00AE351A" w:rsidRDefault="00AE351A" w:rsidP="00AE3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апреля 2014 г. № 54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перечень расходов на реализацию образовательных программ  для общеобразовательных организаций - региональных инновационных площадок.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организации, являющиеся региональными инновационными площадками, могут расходовать средства, полученные в результате применения корректирующих коэффициентов, обеспечивающего специфику реализации основных общеобразовательных программ и инновационную деятельность (далее – дополнительные средства),  на следующие направления: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Заработная плата с учетом начисления на заработную плату в соответствии с требования законодательства Российской Федерации.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Оклад (должностной оклад, ставки заработной платы) работников муниципальных общеобразовательных организаций, реализующих основные образовательные программы. На оплату дополнительных должностных окладов: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педагогов (в том числе внешних совместителей) реализующих дистанционное обучение; педагогов (в том числе внешних совместителей) реализующих внеурочную деятельность; педагогов-библиотекарей (не менее 30% от дополнительных средств).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Выплаты компенсационного характера. Дополнительные выплаты работнику за работы не входящие в круг основных должностных обязанностей, а именно: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заведование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медиацентром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ресурсным центром и т.д.;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заведование площадками (наблюдений и исследований, моделирования и конструирования, занятия творчеством, школьного СМИ);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работы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проведение занятий со слушателями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работы центра учебно-методической и технической поддержки; 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консультационной поддержки в рамках работы центра учебно-методической и технической поддержки;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обучающихся педагогами, через расширение должностных обязанностей.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выплаты устанавливаются работодателем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 и составляют не менее 20% от дополнительных средств.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1.3. Выплаты стимулирующего характера  (не более 20% от дополнительных средств).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Учебные расходы (не менее 30% от дополнительных средств).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создание современных материально-технических условий для реализации федеральных государственных образовательных стандартов:  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2.1.1.Создание (дооборудование, обновление) площадок: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наблюдений и исследований (на основе современных цифровых лабораторий);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моделирования и конструирования (в том числе на основе современных робототехнических комплектов);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занятия творчеством (музыкальные, хореографические студии, театральные площадки, студии изобразительного, прикладного и народного творчества);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дистанционного обучения;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(телевидение, газета, журнал, интернет-страница и другие). 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Создание (дооборудование, обновление)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-зон свободного контролируемого доступа к глобальной сети Интернет, локальной сети.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Создание (дооборудование, обновление): современной библиотеки с читальным залом, </w:t>
      </w:r>
      <w:proofErr w:type="spell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медиацентров</w:t>
      </w:r>
      <w:proofErr w:type="spell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ресурсных центров.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Повышение квалификации педагогических и руководящих работников по персонифицированной модели, включающие расходы на обучение, проживания и расходы на проезд. </w:t>
      </w:r>
      <w:proofErr w:type="gramStart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данное направление определяется образовательной организацией в соответствии с запросами педагогических работников,  но не менее 200 000 рублей для региональных инновационных  площадок по направлению  «Создание и распространение инновационных образовательных моделей, способствующих эффективной реализации федеральных государственных образовательных стандартов»  и не менее 100 000 рублей для региональных инновационных  площадок по направлению «Введение ФГОС ООО», «Реализация инновационных образовательных проектов (программ),  обеспечивающих</w:t>
      </w:r>
      <w:proofErr w:type="gramEnd"/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ФГОС СОО». </w:t>
      </w:r>
      <w:r w:rsidRPr="00AE3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приобретение учебно-методического материала  по ФГОС.</w:t>
      </w:r>
    </w:p>
    <w:p w:rsidR="00AE351A" w:rsidRPr="00AE351A" w:rsidRDefault="00AE351A" w:rsidP="00AE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Освоение средств учебных расходов производится в соответствии с согласованной сметой в рамках условий соглашения заключенным между департаментом образования, науки и молодёжной политики Воронежской области и региональной инновационной площадкой. </w:t>
      </w:r>
      <w:bookmarkEnd w:id="0"/>
      <w:bookmarkEnd w:id="1"/>
    </w:p>
    <w:p w:rsidR="00AE351A" w:rsidRPr="00924D63" w:rsidRDefault="00AE351A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63" w:rsidRPr="00924D63" w:rsidRDefault="00924D63" w:rsidP="00924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A3" w:rsidRDefault="008E64A3"/>
    <w:sectPr w:rsidR="008E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68" w:rsidRDefault="007A0468" w:rsidP="00AE351A">
      <w:pPr>
        <w:spacing w:after="0" w:line="240" w:lineRule="auto"/>
      </w:pPr>
      <w:r>
        <w:separator/>
      </w:r>
    </w:p>
  </w:endnote>
  <w:endnote w:type="continuationSeparator" w:id="0">
    <w:p w:rsidR="007A0468" w:rsidRDefault="007A0468" w:rsidP="00AE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68" w:rsidRDefault="007A0468" w:rsidP="00AE351A">
      <w:pPr>
        <w:spacing w:after="0" w:line="240" w:lineRule="auto"/>
      </w:pPr>
      <w:r>
        <w:separator/>
      </w:r>
    </w:p>
  </w:footnote>
  <w:footnote w:type="continuationSeparator" w:id="0">
    <w:p w:rsidR="007A0468" w:rsidRDefault="007A0468" w:rsidP="00AE351A">
      <w:pPr>
        <w:spacing w:after="0" w:line="240" w:lineRule="auto"/>
      </w:pPr>
      <w:r>
        <w:continuationSeparator/>
      </w:r>
    </w:p>
  </w:footnote>
  <w:footnote w:id="1">
    <w:p w:rsidR="00AE351A" w:rsidRDefault="00AE351A" w:rsidP="00AE351A">
      <w:pPr>
        <w:pStyle w:val="a4"/>
      </w:pPr>
      <w:r>
        <w:rPr>
          <w:rStyle w:val="a6"/>
        </w:rPr>
        <w:footnoteRef/>
      </w:r>
      <w:r>
        <w:t xml:space="preserve"> Образовательные организации,  имеющие дополнительный объём финансирования менее 500 000 рублей, устанавливают объём средств на повышение квалификации самостоятельно.  </w:t>
      </w:r>
    </w:p>
    <w:p w:rsidR="00AE351A" w:rsidRDefault="00AE351A" w:rsidP="00AE351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022F"/>
    <w:multiLevelType w:val="hybridMultilevel"/>
    <w:tmpl w:val="79B0C7C4"/>
    <w:lvl w:ilvl="0" w:tplc="7C4E18A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63"/>
    <w:rsid w:val="00251E03"/>
    <w:rsid w:val="002A5F0B"/>
    <w:rsid w:val="007A0468"/>
    <w:rsid w:val="008E64A3"/>
    <w:rsid w:val="00924D63"/>
    <w:rsid w:val="00AE351A"/>
    <w:rsid w:val="00BD634A"/>
    <w:rsid w:val="00C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4A"/>
    <w:pPr>
      <w:ind w:left="720"/>
      <w:contextualSpacing/>
    </w:pPr>
  </w:style>
  <w:style w:type="paragraph" w:styleId="a4">
    <w:name w:val="footnote text"/>
    <w:basedOn w:val="a"/>
    <w:link w:val="a5"/>
    <w:rsid w:val="00AE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E3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E35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4A"/>
    <w:pPr>
      <w:ind w:left="720"/>
      <w:contextualSpacing/>
    </w:pPr>
  </w:style>
  <w:style w:type="paragraph" w:styleId="a4">
    <w:name w:val="footnote text"/>
    <w:basedOn w:val="a"/>
    <w:link w:val="a5"/>
    <w:rsid w:val="00AE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E3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E35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2014-04-09T06:47:00Z</cp:lastPrinted>
  <dcterms:created xsi:type="dcterms:W3CDTF">2014-04-09T06:04:00Z</dcterms:created>
  <dcterms:modified xsi:type="dcterms:W3CDTF">2014-04-09T12:56:00Z</dcterms:modified>
</cp:coreProperties>
</file>